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МИНИСТЕРСТВО КУЛЬТУРЫ РОССИЙСКОЙ ФЕДЕРАЦИИ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right"/>
        <w:rPr>
          <w:bCs/>
          <w:sz w:val="28"/>
          <w:szCs w:val="28"/>
        </w:rPr>
      </w:pPr>
      <w:r w:rsidRPr="00330C9B">
        <w:rPr>
          <w:bCs/>
          <w:sz w:val="28"/>
          <w:szCs w:val="28"/>
        </w:rPr>
        <w:t>УТВЕРЖДАЮ:</w:t>
      </w:r>
    </w:p>
    <w:p w:rsidR="00330C9B" w:rsidRPr="00330C9B" w:rsidRDefault="00330C9B" w:rsidP="00330C9B">
      <w:pPr>
        <w:tabs>
          <w:tab w:val="left" w:pos="708"/>
        </w:tabs>
        <w:jc w:val="right"/>
        <w:rPr>
          <w:bCs/>
          <w:sz w:val="28"/>
          <w:szCs w:val="28"/>
        </w:rPr>
      </w:pPr>
      <w:r w:rsidRPr="00330C9B">
        <w:rPr>
          <w:bCs/>
          <w:sz w:val="28"/>
          <w:szCs w:val="28"/>
        </w:rPr>
        <w:t>Председатель учебно-методического совета</w:t>
      </w:r>
    </w:p>
    <w:p w:rsidR="00330C9B" w:rsidRPr="00330C9B" w:rsidRDefault="00330C9B" w:rsidP="00330C9B">
      <w:pPr>
        <w:tabs>
          <w:tab w:val="left" w:pos="708"/>
        </w:tabs>
        <w:jc w:val="right"/>
        <w:rPr>
          <w:bCs/>
          <w:sz w:val="28"/>
          <w:szCs w:val="28"/>
        </w:rPr>
      </w:pPr>
      <w:r w:rsidRPr="00330C9B">
        <w:rPr>
          <w:bCs/>
          <w:sz w:val="28"/>
          <w:szCs w:val="28"/>
        </w:rPr>
        <w:t>Театрально-режиссёрского факультета</w:t>
      </w:r>
    </w:p>
    <w:p w:rsidR="00330C9B" w:rsidRPr="00330C9B" w:rsidRDefault="00330C9B" w:rsidP="00330C9B">
      <w:pPr>
        <w:tabs>
          <w:tab w:val="left" w:pos="708"/>
        </w:tabs>
        <w:jc w:val="right"/>
        <w:rPr>
          <w:bCs/>
          <w:sz w:val="28"/>
          <w:szCs w:val="28"/>
        </w:rPr>
      </w:pPr>
      <w:r w:rsidRPr="00330C9B">
        <w:rPr>
          <w:bCs/>
          <w:sz w:val="28"/>
          <w:szCs w:val="28"/>
        </w:rPr>
        <w:t>Овчинников Р.Ю.</w:t>
      </w:r>
    </w:p>
    <w:p w:rsidR="00330C9B" w:rsidRPr="00330C9B" w:rsidRDefault="00330C9B" w:rsidP="00330C9B">
      <w:pPr>
        <w:tabs>
          <w:tab w:val="left" w:pos="708"/>
        </w:tabs>
        <w:jc w:val="right"/>
        <w:rPr>
          <w:bCs/>
          <w:sz w:val="28"/>
          <w:szCs w:val="28"/>
        </w:rPr>
      </w:pPr>
      <w:r w:rsidRPr="00330C9B">
        <w:rPr>
          <w:bCs/>
          <w:sz w:val="28"/>
          <w:szCs w:val="28"/>
        </w:rPr>
        <w:t>«__» _________________ 2020г.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 ПО ДИСЦИПЛИНЕ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Б</w:t>
      </w:r>
      <w:proofErr w:type="gramStart"/>
      <w:r w:rsidRPr="00330C9B">
        <w:rPr>
          <w:b/>
          <w:bCs/>
          <w:sz w:val="28"/>
          <w:szCs w:val="28"/>
        </w:rPr>
        <w:t>1.О.</w:t>
      </w:r>
      <w:proofErr w:type="gramEnd"/>
      <w:r w:rsidRPr="00330C9B">
        <w:rPr>
          <w:b/>
          <w:bCs/>
          <w:sz w:val="28"/>
          <w:szCs w:val="28"/>
        </w:rPr>
        <w:t>23 РАБОТА РЕЖИССЕРА С ХУДОЖНИКОМ (МАКЕТИРОВАНИЕ)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Бакалавр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Очная, заочная</w:t>
      </w: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30C9B" w:rsidRPr="00330C9B" w:rsidRDefault="00330C9B" w:rsidP="00330C9B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330C9B">
        <w:rPr>
          <w:b/>
          <w:bCs/>
          <w:sz w:val="28"/>
          <w:szCs w:val="28"/>
        </w:rPr>
        <w:t>Химки, 2020 г.</w:t>
      </w:r>
    </w:p>
    <w:p w:rsidR="0021533A" w:rsidRDefault="0021533A" w:rsidP="00524DEB">
      <w:pPr>
        <w:spacing w:line="276" w:lineRule="auto"/>
        <w:jc w:val="center"/>
        <w:rPr>
          <w:b/>
        </w:rPr>
      </w:pPr>
    </w:p>
    <w:p w:rsidR="00C33295" w:rsidRDefault="00C33295" w:rsidP="00330C9B">
      <w:pPr>
        <w:spacing w:line="276" w:lineRule="auto"/>
        <w:rPr>
          <w:b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УК – 3: Способность осуществлять социальное взаимодействие и реализовывать свою роль в команде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ОПК – 3: Способен соблюдать требования профессиональных стандартов и норм профессиональной этики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3: Готовность осуществлять управление и программирование развивающих форм Режиссуры театрализованных представлений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и праздников всех возрастных групп населения.</w:t>
      </w:r>
    </w:p>
    <w:p w:rsidR="007925FB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CB0CC5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 w:rsidR="008210CB">
        <w:rPr>
          <w:rFonts w:eastAsia="Batang"/>
          <w:bCs/>
          <w:iCs/>
          <w:sz w:val="28"/>
          <w:szCs w:val="28"/>
        </w:rPr>
        <w:t>основы теоретических знаний о направлениях, стилях сценографии</w:t>
      </w:r>
    </w:p>
    <w:p w:rsidR="00CB0CC5" w:rsidRDefault="00CB0CC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>Уметь:</w:t>
      </w:r>
      <w:r w:rsidR="00FD237E">
        <w:rPr>
          <w:rFonts w:eastAsia="Batang"/>
          <w:bCs/>
          <w:iCs/>
          <w:sz w:val="28"/>
          <w:szCs w:val="28"/>
        </w:rPr>
        <w:t xml:space="preserve"> </w:t>
      </w:r>
      <w:r w:rsidR="00DF6BA7">
        <w:rPr>
          <w:rFonts w:eastAsia="Batang"/>
          <w:bCs/>
          <w:iCs/>
          <w:sz w:val="28"/>
          <w:szCs w:val="28"/>
        </w:rPr>
        <w:t>анализировать эскизы декорационных решений художественно-культурных символов, направлений в сфере художественной культуры стран и народов мира, соотносить мировоззрение эпохи с определенным художественным стилем, направлением, творческой манерой конкретного художника, спецификой техники</w:t>
      </w:r>
    </w:p>
    <w:p w:rsidR="00AA6302" w:rsidRDefault="00AA6302" w:rsidP="0036651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 xml:space="preserve">3) </w:t>
      </w:r>
      <w:r w:rsidRPr="008210CB">
        <w:rPr>
          <w:rFonts w:eastAsia="Batang"/>
          <w:bCs/>
          <w:iCs/>
          <w:sz w:val="28"/>
          <w:szCs w:val="28"/>
        </w:rPr>
        <w:t>Владеть</w:t>
      </w:r>
      <w:r w:rsidR="00366518" w:rsidRPr="008210CB">
        <w:rPr>
          <w:rFonts w:eastAsia="Batang"/>
          <w:bCs/>
          <w:iCs/>
          <w:sz w:val="28"/>
          <w:szCs w:val="28"/>
        </w:rPr>
        <w:t xml:space="preserve">: </w:t>
      </w:r>
      <w:r w:rsidR="008210CB">
        <w:rPr>
          <w:rFonts w:eastAsia="Batang"/>
          <w:bCs/>
          <w:iCs/>
          <w:sz w:val="28"/>
          <w:szCs w:val="28"/>
        </w:rPr>
        <w:t>необходимым объ</w:t>
      </w:r>
      <w:r w:rsidR="008210CB" w:rsidRPr="008210CB">
        <w:rPr>
          <w:rFonts w:eastAsia="Batang"/>
          <w:bCs/>
          <w:iCs/>
          <w:sz w:val="28"/>
          <w:szCs w:val="28"/>
        </w:rPr>
        <w:t>емом специальной терминологии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п/</w:t>
      </w:r>
      <w:proofErr w:type="spellStart"/>
      <w:r w:rsidRPr="00CC3BE2">
        <w:rPr>
          <w:sz w:val="28"/>
          <w:szCs w:val="28"/>
        </w:rPr>
        <w:t>гр</w:t>
      </w:r>
      <w:proofErr w:type="spellEnd"/>
      <w:r w:rsidRPr="00CC3BE2">
        <w:rPr>
          <w:sz w:val="28"/>
          <w:szCs w:val="28"/>
        </w:rPr>
        <w:t xml:space="preserve"> занятий – 3 балла; м/</w:t>
      </w:r>
      <w:proofErr w:type="spellStart"/>
      <w:r w:rsidRPr="00CC3BE2">
        <w:rPr>
          <w:sz w:val="28"/>
          <w:szCs w:val="28"/>
        </w:rPr>
        <w:t>гр</w:t>
      </w:r>
      <w:proofErr w:type="spellEnd"/>
      <w:r w:rsidRPr="00CC3BE2">
        <w:rPr>
          <w:sz w:val="28"/>
          <w:szCs w:val="28"/>
        </w:rPr>
        <w:t xml:space="preserve"> – 10 баллов.</w:t>
      </w: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 xml:space="preserve">Промежуточная аттестация проводится в форме </w:t>
      </w:r>
      <w:proofErr w:type="gramStart"/>
      <w:r w:rsidRPr="00CC3BE2">
        <w:rPr>
          <w:sz w:val="28"/>
          <w:szCs w:val="28"/>
        </w:rPr>
        <w:t>зачета(</w:t>
      </w:r>
      <w:proofErr w:type="gramEnd"/>
      <w:r w:rsidRPr="00CC3BE2">
        <w:rPr>
          <w:sz w:val="28"/>
          <w:szCs w:val="28"/>
        </w:rPr>
        <w:t>у заочников).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 xml:space="preserve">Удельный вес занятий, проводимых в интерактивных формах, определяется главной целью (миссией) программы, особенностью </w:t>
      </w:r>
      <w:r w:rsidRPr="00CC3BE2">
        <w:rPr>
          <w:sz w:val="28"/>
          <w:szCs w:val="28"/>
        </w:rPr>
        <w:lastRenderedPageBreak/>
        <w:t xml:space="preserve">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</w:t>
      </w:r>
    </w:p>
    <w:p w:rsidR="00CC3BE2" w:rsidRPr="00CC3BE2" w:rsidRDefault="00CC3BE2" w:rsidP="00CC3BE2">
      <w:pPr>
        <w:tabs>
          <w:tab w:val="left" w:pos="708"/>
        </w:tabs>
        <w:jc w:val="both"/>
        <w:rPr>
          <w:i/>
        </w:rPr>
      </w:pPr>
    </w:p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Текущий контроль</w:t>
      </w:r>
    </w:p>
    <w:p w:rsidR="00CC3BE2" w:rsidRPr="00CC3BE2" w:rsidRDefault="00CC3BE2" w:rsidP="00CC3BE2">
      <w:pPr>
        <w:spacing w:before="100" w:beforeAutospacing="1" w:after="100" w:afterAutospacing="1"/>
        <w:rPr>
          <w:color w:val="000000"/>
          <w:sz w:val="28"/>
          <w:szCs w:val="27"/>
        </w:rPr>
      </w:pPr>
      <w:r w:rsidRPr="00CC3BE2">
        <w:rPr>
          <w:b/>
          <w:color w:val="000000"/>
          <w:sz w:val="28"/>
          <w:szCs w:val="27"/>
        </w:rPr>
        <w:t>Текущий контроль</w:t>
      </w:r>
      <w:r w:rsidRPr="00CC3BE2">
        <w:rPr>
          <w:color w:val="000000"/>
          <w:sz w:val="28"/>
          <w:szCs w:val="27"/>
        </w:rPr>
        <w:t xml:space="preserve"> - это непрерывно осуществляемый мониторинг усвоения уровня знаний, формирования умений и навыков их применения, развития личностных качеств студента за фиксируемый период времени.</w:t>
      </w:r>
    </w:p>
    <w:p w:rsidR="00CC3BE2" w:rsidRPr="00CC3BE2" w:rsidRDefault="00CC3BE2" w:rsidP="00CC3BE2">
      <w:pPr>
        <w:rPr>
          <w:color w:val="000000"/>
          <w:sz w:val="28"/>
          <w:szCs w:val="27"/>
        </w:rPr>
      </w:pPr>
      <w:r w:rsidRPr="00CC3BE2">
        <w:rPr>
          <w:color w:val="000000"/>
          <w:sz w:val="28"/>
          <w:szCs w:val="27"/>
        </w:rPr>
        <w:t>Формами текущего контроля: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Устный опрос 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>Блиц-опрос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 </w:t>
      </w:r>
      <w:proofErr w:type="gramStart"/>
      <w:r w:rsidRPr="00CC3BE2">
        <w:rPr>
          <w:sz w:val="28"/>
          <w:szCs w:val="28"/>
        </w:rPr>
        <w:t>Изготовление  фор</w:t>
      </w:r>
      <w:proofErr w:type="gramEnd"/>
      <w:r w:rsidRPr="00CC3BE2">
        <w:rPr>
          <w:sz w:val="28"/>
          <w:szCs w:val="28"/>
        </w:rPr>
        <w:t xml:space="preserve">-эскиза –наброска основных элемента декораций сценического оформления   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 Изготовление детального  эскиза сценического оформления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Изготовление планировки театрализованного действа в масштабе 1:20 или 1:50  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>Изготовление элементов сценического оформления в масштабе 1:20 или 1:50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Изготовление макета, по выбранному студеном мероприятию (День города, День молодежи и </w:t>
      </w:r>
      <w:proofErr w:type="spellStart"/>
      <w:r w:rsidRPr="00CC3BE2">
        <w:rPr>
          <w:sz w:val="28"/>
          <w:szCs w:val="28"/>
        </w:rPr>
        <w:t>тд</w:t>
      </w:r>
      <w:proofErr w:type="spellEnd"/>
      <w:r w:rsidRPr="00CC3BE2">
        <w:rPr>
          <w:sz w:val="28"/>
          <w:szCs w:val="28"/>
        </w:rPr>
        <w:t>.)</w:t>
      </w:r>
    </w:p>
    <w:p w:rsidR="00CC3BE2" w:rsidRPr="00CC3BE2" w:rsidRDefault="00CC3BE2" w:rsidP="00CC3BE2">
      <w:pPr>
        <w:rPr>
          <w:sz w:val="28"/>
        </w:rPr>
      </w:pPr>
    </w:p>
    <w:p w:rsidR="00CC3BE2" w:rsidRPr="00CC3BE2" w:rsidRDefault="00CC3BE2" w:rsidP="00CC3BE2">
      <w:pPr>
        <w:rPr>
          <w:sz w:val="28"/>
        </w:rPr>
      </w:pPr>
      <w:r w:rsidRPr="00CC3BE2">
        <w:rPr>
          <w:sz w:val="28"/>
        </w:rPr>
        <w:t>Текущий контроль осуществляется регулярно. 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sz w:val="28"/>
          <w:szCs w:val="28"/>
        </w:rPr>
        <w:t xml:space="preserve"> </w:t>
      </w:r>
      <w:r w:rsidRPr="00CC3BE2">
        <w:rPr>
          <w:b/>
          <w:sz w:val="28"/>
          <w:szCs w:val="28"/>
        </w:rPr>
        <w:t>Блиц-опрос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Примерные вопросы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1-й семестр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Самые выдающиеся театральные художники начала и середины 20-ого века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Выдающиеся художники времен «Оттепели»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Современные сценографы конца 20-ого начала 21-ого веков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Яркие театральные постановки </w:t>
      </w:r>
      <w:proofErr w:type="spellStart"/>
      <w:r w:rsidRPr="00CC3BE2">
        <w:rPr>
          <w:sz w:val="28"/>
          <w:szCs w:val="28"/>
        </w:rPr>
        <w:t>Шейнциса</w:t>
      </w:r>
      <w:proofErr w:type="spellEnd"/>
      <w:r w:rsidRPr="00CC3BE2">
        <w:rPr>
          <w:sz w:val="28"/>
          <w:szCs w:val="28"/>
        </w:rPr>
        <w:t xml:space="preserve"> О. в театре Ленком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Театральные постановки </w:t>
      </w:r>
      <w:proofErr w:type="spellStart"/>
      <w:r w:rsidRPr="00CC3BE2">
        <w:rPr>
          <w:sz w:val="28"/>
          <w:szCs w:val="28"/>
        </w:rPr>
        <w:t>А.Коженковой</w:t>
      </w:r>
      <w:proofErr w:type="spellEnd"/>
      <w:r w:rsidRPr="00CC3BE2">
        <w:rPr>
          <w:sz w:val="28"/>
          <w:szCs w:val="28"/>
        </w:rPr>
        <w:t xml:space="preserve">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Основы сценографии и ее направления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Влияние новейших  технологий (свет, звук, видео) на современную сценографию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Разновидности набросков эскизов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Понятие о мизансцене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 Из чего состоит подробный эскиз художественного оформления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2-й семестр 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Зрительное восприятие сценической площадки. Примеры из истории театрализованных представлений.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Основные типы сценических площадок.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Архитектура как функция сценических форм спектакля.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Открытие перспективных построений сценических площадок.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Аксонометрия и обратная перспектива.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Построение перспективной сетки.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Три перспективных плана.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Признаки глубины и иллюзия пространства в картине.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Понятие масштаба.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Плоскостное восприятие мизансцены на площадке.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Цветовой спектр.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Основные и дополнительные цвета.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Художник – постановщик и его специфика творческого процесса.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Роль художника в процессе создания театрализованного представления.</w:t>
      </w: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 Критерии оценки блиц -опроса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«Отлично»</w:t>
            </w:r>
            <w:r w:rsidRPr="00CC3BE2">
              <w:rPr>
                <w:b/>
                <w:bCs/>
                <w:sz w:val="28"/>
                <w:szCs w:val="28"/>
              </w:rPr>
              <w:t xml:space="preserve"> » </w:t>
            </w:r>
          </w:p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- вопрос  раскрыт полностью, точно обозначены основные понятия и характеристики в соответствии с нормами права и теоретическим материалом.</w:t>
            </w: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«Хорошо»</w:t>
            </w:r>
            <w:r w:rsidRPr="00CC3BE2">
              <w:rPr>
                <w:b/>
                <w:bCs/>
                <w:sz w:val="28"/>
                <w:szCs w:val="28"/>
              </w:rPr>
              <w:t xml:space="preserve"> »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- вопрос раскрыт, однако нет </w:t>
            </w:r>
            <w:proofErr w:type="spellStart"/>
            <w:r w:rsidRPr="00CC3BE2">
              <w:rPr>
                <w:bCs/>
                <w:sz w:val="28"/>
                <w:szCs w:val="28"/>
              </w:rPr>
              <w:t>полногораскрытия</w:t>
            </w:r>
            <w:proofErr w:type="spellEnd"/>
            <w:r w:rsidRPr="00CC3BE2">
              <w:rPr>
                <w:bCs/>
                <w:sz w:val="28"/>
                <w:szCs w:val="28"/>
              </w:rPr>
              <w:t xml:space="preserve"> всех необходимых элементов.</w:t>
            </w: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«Удовлетворительно»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- вопрос раскрыт не полно, присутствуют грубые ошибки, однако есть некоторое понимание раскрываемых понятий.</w:t>
            </w: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«Неудовлетворительно»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</w:tc>
      </w:tr>
    </w:tbl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Критерии оценки устного опроса </w:t>
      </w:r>
    </w:p>
    <w:p w:rsidR="00CC3BE2" w:rsidRPr="00CC3BE2" w:rsidRDefault="00CC3BE2" w:rsidP="00CC3BE2">
      <w:pPr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5-10 баллов</w:t>
            </w:r>
          </w:p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/>
                <w:bCs/>
                <w:sz w:val="28"/>
                <w:szCs w:val="28"/>
              </w:rPr>
              <w:t xml:space="preserve">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- вопрос  раскрыт полностью, точно обозначены основные понятия и характеристики в соответствии с нормами права и теоретическим материалом.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 0-4 бала</w:t>
            </w:r>
            <w:r w:rsidRPr="00CC3BE2">
              <w:rPr>
                <w:b/>
                <w:bCs/>
                <w:sz w:val="28"/>
                <w:szCs w:val="28"/>
              </w:rPr>
              <w:t xml:space="preserve">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ind w:left="90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Критерии оценки эскиза, наброска</w:t>
      </w:r>
    </w:p>
    <w:p w:rsidR="00CC3BE2" w:rsidRPr="00CC3BE2" w:rsidRDefault="00CC3BE2" w:rsidP="00CC3BE2">
      <w:pPr>
        <w:ind w:left="900"/>
        <w:rPr>
          <w:b/>
          <w:sz w:val="28"/>
          <w:szCs w:val="28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618"/>
        <w:gridCol w:w="7988"/>
      </w:tblGrid>
      <w:tr w:rsidR="00CC3BE2" w:rsidRPr="00CC3BE2" w:rsidTr="00330C9B">
        <w:tc>
          <w:tcPr>
            <w:tcW w:w="161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«зачет»</w:t>
            </w:r>
          </w:p>
        </w:tc>
        <w:tc>
          <w:tcPr>
            <w:tcW w:w="798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Отображение художественного образа театрализованного представления  в плоскостном изображении эскиза или наброска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Соблюдение перспективы в изображении эскиза, наброска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Цветовое решение эскиза, наброска </w:t>
            </w:r>
          </w:p>
        </w:tc>
      </w:tr>
      <w:tr w:rsidR="00CC3BE2" w:rsidRPr="00CC3BE2" w:rsidTr="00330C9B">
        <w:tc>
          <w:tcPr>
            <w:tcW w:w="161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«Не зачет»</w:t>
            </w:r>
          </w:p>
        </w:tc>
        <w:tc>
          <w:tcPr>
            <w:tcW w:w="798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Отсутствие художественного образа театрализованного представления  в эскизе или наброске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Несоблюдение перспективы и пропорций в изображении элементов  декорации   в эскизе, наброске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Отсутствие цветовой гаммы и колористки в эскизе </w:t>
            </w:r>
          </w:p>
        </w:tc>
      </w:tr>
    </w:tbl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Критерии оценки макета 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695"/>
        <w:gridCol w:w="7911"/>
      </w:tblGrid>
      <w:tr w:rsidR="00CC3BE2" w:rsidRPr="00CC3BE2" w:rsidTr="00330C9B">
        <w:tc>
          <w:tcPr>
            <w:tcW w:w="1695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«зачет»</w:t>
            </w:r>
          </w:p>
        </w:tc>
        <w:tc>
          <w:tcPr>
            <w:tcW w:w="7911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Точное соблюдение масштабности в макете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Аккуратность изготовления элементов декораций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Правильное композиционное решение макета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Точное создание зрительного образа театрального макета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Грамотна цветовая партитура оформления театрального макета </w:t>
            </w:r>
          </w:p>
        </w:tc>
      </w:tr>
      <w:tr w:rsidR="00CC3BE2" w:rsidRPr="00CC3BE2" w:rsidTr="00330C9B">
        <w:tc>
          <w:tcPr>
            <w:tcW w:w="1695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«Не зачет»</w:t>
            </w:r>
          </w:p>
        </w:tc>
        <w:tc>
          <w:tcPr>
            <w:tcW w:w="7911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Грубое не соблюдение масштабности в макете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Отсутствие художественного и зрительного образа в театральном макете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Нет идеи и образного виденья макета  театрализованного представления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Отсутствие цветовой гаммы в оформлении макета  </w:t>
            </w:r>
          </w:p>
        </w:tc>
      </w:tr>
    </w:tbl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jc w:val="center"/>
        <w:rPr>
          <w:b/>
          <w:sz w:val="28"/>
        </w:rPr>
      </w:pPr>
      <w:r w:rsidRPr="00CC3BE2">
        <w:rPr>
          <w:b/>
          <w:sz w:val="28"/>
        </w:rPr>
        <w:t xml:space="preserve"> Зачет</w:t>
      </w:r>
    </w:p>
    <w:p w:rsidR="00CC3BE2" w:rsidRPr="00CC3BE2" w:rsidRDefault="00CC3BE2" w:rsidP="00CC3BE2">
      <w:pPr>
        <w:ind w:left="540"/>
        <w:rPr>
          <w:sz w:val="28"/>
          <w:szCs w:val="28"/>
        </w:rPr>
      </w:pPr>
      <w:r w:rsidRPr="00CC3BE2">
        <w:rPr>
          <w:sz w:val="28"/>
          <w:szCs w:val="28"/>
        </w:rPr>
        <w:t xml:space="preserve">Зачеты принимаются в устной форме. По билету с двумя вопросами и вторая часть зачета это  сдача и защита макетов. </w:t>
      </w: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Вопросы к зачету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Изобразительная режиссура.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Процесс творческого взаимодействия художника и режиссера.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Зрительское восприятие сценической площадки.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Подача на картонной плоскости закономерности зрительного восприятия.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Типы сценических площадок и их особенности.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Театральная сцена, ее пропорции, устройство и технические возможности.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Использование пространства сцены изобразительного решения образа спектакля, учитывая архитектуру зрительного зала.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Нестандартные площадки, их специфика.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lastRenderedPageBreak/>
        <w:t>Примеры проведения театрализованных представлений и праздников на нетрадиционных сценических площадках.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Перспектива, ее законы в пространстве и на плоскости.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Построение перспективной сетки.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Использование законов перспективы в работе на различных сценических площадках.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Масштаб.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Восприятие человека как метрической единицы пространства.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Цвет и цветной спектр.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Основные и дополнительные цвета.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Смысловое восприятие цвета.</w:t>
      </w: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ind w:firstLine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Критерии оценивания зачета</w:t>
      </w:r>
    </w:p>
    <w:p w:rsidR="00CC3BE2" w:rsidRPr="00CC3BE2" w:rsidRDefault="00CC3BE2" w:rsidP="00CC3BE2">
      <w:pPr>
        <w:ind w:firstLine="540"/>
        <w:rPr>
          <w:sz w:val="28"/>
          <w:szCs w:val="28"/>
        </w:rPr>
      </w:pPr>
    </w:p>
    <w:p w:rsidR="00CC3BE2" w:rsidRPr="00CC3BE2" w:rsidRDefault="00CC3BE2" w:rsidP="00CC3BE2">
      <w:pPr>
        <w:autoSpaceDE w:val="0"/>
        <w:autoSpaceDN w:val="0"/>
        <w:adjustRightInd w:val="0"/>
        <w:spacing w:line="276" w:lineRule="auto"/>
        <w:rPr>
          <w:rFonts w:eastAsiaTheme="minorEastAsia"/>
          <w:sz w:val="28"/>
          <w:szCs w:val="28"/>
        </w:rPr>
      </w:pPr>
      <w:r w:rsidRPr="00CC3BE2">
        <w:rPr>
          <w:rFonts w:eastAsiaTheme="minorEastAsia"/>
          <w:b/>
          <w:bCs/>
          <w:sz w:val="28"/>
          <w:szCs w:val="28"/>
        </w:rPr>
        <w:t xml:space="preserve">-«зачтено» </w:t>
      </w:r>
      <w:r w:rsidRPr="00CC3BE2">
        <w:rPr>
          <w:rFonts w:eastAsiaTheme="minorEastAsia"/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CC3BE2" w:rsidRPr="00CC3BE2" w:rsidRDefault="00CC3BE2" w:rsidP="00CC3BE2">
      <w:pPr>
        <w:autoSpaceDE w:val="0"/>
        <w:autoSpaceDN w:val="0"/>
        <w:adjustRightInd w:val="0"/>
        <w:spacing w:before="29" w:line="276" w:lineRule="auto"/>
        <w:rPr>
          <w:rFonts w:eastAsiaTheme="minorEastAsia"/>
          <w:sz w:val="28"/>
          <w:szCs w:val="28"/>
        </w:rPr>
      </w:pPr>
      <w:r w:rsidRPr="00CC3BE2">
        <w:rPr>
          <w:rFonts w:eastAsiaTheme="minorEastAsia"/>
          <w:b/>
          <w:bCs/>
          <w:sz w:val="28"/>
          <w:szCs w:val="28"/>
        </w:rPr>
        <w:t>-«не</w:t>
      </w:r>
      <w:r w:rsidR="00330C9B">
        <w:rPr>
          <w:rFonts w:eastAsiaTheme="minorEastAsia"/>
          <w:b/>
          <w:bCs/>
          <w:sz w:val="28"/>
          <w:szCs w:val="28"/>
        </w:rPr>
        <w:t xml:space="preserve"> </w:t>
      </w:r>
      <w:r w:rsidRPr="00CC3BE2">
        <w:rPr>
          <w:rFonts w:eastAsiaTheme="minorEastAsia"/>
          <w:b/>
          <w:bCs/>
          <w:sz w:val="28"/>
          <w:szCs w:val="28"/>
        </w:rPr>
        <w:t xml:space="preserve">зачтено» </w:t>
      </w:r>
      <w:r w:rsidRPr="00CC3BE2">
        <w:rPr>
          <w:rFonts w:eastAsiaTheme="minorEastAsia"/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</w:t>
      </w:r>
    </w:p>
    <w:p w:rsidR="00CC3BE2" w:rsidRPr="00CC3BE2" w:rsidRDefault="00CC3BE2" w:rsidP="00CC3BE2">
      <w:pPr>
        <w:rPr>
          <w:b/>
          <w:sz w:val="28"/>
          <w:szCs w:val="28"/>
        </w:rPr>
      </w:pPr>
      <w:bookmarkStart w:id="0" w:name="_GoBack"/>
      <w:bookmarkEnd w:id="0"/>
    </w:p>
    <w:p w:rsidR="00035A32" w:rsidRPr="00035A32" w:rsidRDefault="00035A32" w:rsidP="00035A32">
      <w:pPr>
        <w:ind w:firstLine="709"/>
        <w:jc w:val="both"/>
        <w:rPr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AE1B21"/>
    <w:multiLevelType w:val="hybridMultilevel"/>
    <w:tmpl w:val="22706340"/>
    <w:lvl w:ilvl="0" w:tplc="1102B7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A27E6"/>
    <w:multiLevelType w:val="hybridMultilevel"/>
    <w:tmpl w:val="B2C6C5EA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3D00C3C"/>
    <w:multiLevelType w:val="hybridMultilevel"/>
    <w:tmpl w:val="2DE05930"/>
    <w:lvl w:ilvl="0" w:tplc="0BEC9C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2B21C52"/>
    <w:multiLevelType w:val="hybridMultilevel"/>
    <w:tmpl w:val="5B621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8"/>
  </w:num>
  <w:num w:numId="3">
    <w:abstractNumId w:val="33"/>
  </w:num>
  <w:num w:numId="4">
    <w:abstractNumId w:val="35"/>
  </w:num>
  <w:num w:numId="5">
    <w:abstractNumId w:val="30"/>
  </w:num>
  <w:num w:numId="6">
    <w:abstractNumId w:val="19"/>
  </w:num>
  <w:num w:numId="7">
    <w:abstractNumId w:val="15"/>
  </w:num>
  <w:num w:numId="8">
    <w:abstractNumId w:val="36"/>
  </w:num>
  <w:num w:numId="9">
    <w:abstractNumId w:val="18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7"/>
  </w:num>
  <w:num w:numId="14">
    <w:abstractNumId w:val="1"/>
  </w:num>
  <w:num w:numId="15">
    <w:abstractNumId w:val="11"/>
  </w:num>
  <w:num w:numId="16">
    <w:abstractNumId w:val="5"/>
  </w:num>
  <w:num w:numId="17">
    <w:abstractNumId w:val="10"/>
  </w:num>
  <w:num w:numId="18">
    <w:abstractNumId w:val="3"/>
  </w:num>
  <w:num w:numId="19">
    <w:abstractNumId w:val="34"/>
  </w:num>
  <w:num w:numId="20">
    <w:abstractNumId w:val="31"/>
  </w:num>
  <w:num w:numId="21">
    <w:abstractNumId w:val="14"/>
  </w:num>
  <w:num w:numId="22">
    <w:abstractNumId w:val="25"/>
  </w:num>
  <w:num w:numId="23">
    <w:abstractNumId w:val="22"/>
  </w:num>
  <w:num w:numId="24">
    <w:abstractNumId w:val="20"/>
  </w:num>
  <w:num w:numId="25">
    <w:abstractNumId w:val="28"/>
  </w:num>
  <w:num w:numId="26">
    <w:abstractNumId w:val="32"/>
  </w:num>
  <w:num w:numId="27">
    <w:abstractNumId w:val="6"/>
  </w:num>
  <w:num w:numId="28">
    <w:abstractNumId w:val="24"/>
  </w:num>
  <w:num w:numId="29">
    <w:abstractNumId w:val="23"/>
  </w:num>
  <w:num w:numId="30">
    <w:abstractNumId w:val="12"/>
  </w:num>
  <w:num w:numId="31">
    <w:abstractNumId w:val="9"/>
  </w:num>
  <w:num w:numId="32">
    <w:abstractNumId w:val="29"/>
  </w:num>
  <w:num w:numId="33">
    <w:abstractNumId w:val="4"/>
  </w:num>
  <w:num w:numId="34">
    <w:abstractNumId w:val="17"/>
    <w:lvlOverride w:ilvl="0">
      <w:startOverride w:val="1"/>
    </w:lvlOverride>
  </w:num>
  <w:num w:numId="35">
    <w:abstractNumId w:val="16"/>
  </w:num>
  <w:num w:numId="36">
    <w:abstractNumId w:val="21"/>
  </w:num>
  <w:num w:numId="37">
    <w:abstractNumId w:val="2"/>
  </w:num>
  <w:num w:numId="38">
    <w:abstractNumId w:val="1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0E42B9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1533A"/>
    <w:rsid w:val="0025422C"/>
    <w:rsid w:val="0027768B"/>
    <w:rsid w:val="002A6230"/>
    <w:rsid w:val="002D3315"/>
    <w:rsid w:val="00330C9B"/>
    <w:rsid w:val="00366518"/>
    <w:rsid w:val="003A7757"/>
    <w:rsid w:val="00430014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210CB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33295"/>
    <w:rsid w:val="00C87539"/>
    <w:rsid w:val="00CB0CC5"/>
    <w:rsid w:val="00CB384D"/>
    <w:rsid w:val="00CC04D5"/>
    <w:rsid w:val="00CC3BE2"/>
    <w:rsid w:val="00D10C1D"/>
    <w:rsid w:val="00D27F64"/>
    <w:rsid w:val="00D70F72"/>
    <w:rsid w:val="00D8028B"/>
    <w:rsid w:val="00D97621"/>
    <w:rsid w:val="00DF6BA7"/>
    <w:rsid w:val="00E50FFB"/>
    <w:rsid w:val="00E530F9"/>
    <w:rsid w:val="00E9001A"/>
    <w:rsid w:val="00EA187A"/>
    <w:rsid w:val="00EC52E2"/>
    <w:rsid w:val="00EE02FA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3B5E08"/>
  <w15:docId w15:val="{1A62A4EA-7E1F-44CC-9623-0DDC815F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table" w:styleId="a8">
    <w:name w:val="Table Grid"/>
    <w:basedOn w:val="a1"/>
    <w:uiPriority w:val="59"/>
    <w:locked/>
    <w:rsid w:val="00CC3B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11</cp:revision>
  <cp:lastPrinted>2016-01-11T11:06:00Z</cp:lastPrinted>
  <dcterms:created xsi:type="dcterms:W3CDTF">2019-06-22T13:40:00Z</dcterms:created>
  <dcterms:modified xsi:type="dcterms:W3CDTF">2021-06-21T14:01:00Z</dcterms:modified>
</cp:coreProperties>
</file>